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信诺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vertAlign w:val="superscript"/>
        </w:rPr>
        <w:t>®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溶剂型分散</w:t>
      </w:r>
      <w:r>
        <w:rPr>
          <w:rFonts w:hint="eastAsia" w:ascii="宋体" w:hAnsi="宋体" w:eastAsia="宋体" w:cs="宋体"/>
          <w:b/>
          <w:sz w:val="30"/>
          <w:szCs w:val="30"/>
        </w:rPr>
        <w:t>剂</w:t>
      </w:r>
    </w:p>
    <w:p>
      <w:pPr>
        <w:spacing w:line="240" w:lineRule="auto"/>
        <w:rPr>
          <w:rFonts w:hint="default"/>
          <w:b/>
          <w:color w:val="00000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用于制备碳纳米管浆料、导电炭黑浆料</w:t>
      </w:r>
      <w:bookmarkStart w:id="0" w:name="_GoBack"/>
      <w:bookmarkEnd w:id="0"/>
    </w:p>
    <w:p>
      <w:pPr>
        <w:spacing w:line="240" w:lineRule="auto"/>
        <w:rPr>
          <w:b/>
          <w:color w:val="000000"/>
          <w:sz w:val="18"/>
          <w:szCs w:val="18"/>
        </w:rPr>
      </w:pPr>
    </w:p>
    <w:p>
      <w:pPr>
        <w:spacing w:line="300" w:lineRule="exact"/>
        <w:rPr>
          <w:rFonts w:hint="eastAsia"/>
          <w:b/>
          <w:color w:val="000000"/>
          <w:sz w:val="28"/>
          <w:szCs w:val="28"/>
          <w:lang w:eastAsia="zh-CN"/>
        </w:rPr>
      </w:pPr>
    </w:p>
    <w:p>
      <w:pPr>
        <w:spacing w:line="30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产品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编号</w:t>
      </w:r>
      <w:r>
        <w:rPr>
          <w:b/>
          <w:color w:val="000000"/>
          <w:sz w:val="28"/>
          <w:szCs w:val="28"/>
        </w:rPr>
        <w:t xml:space="preserve">                     </w:t>
      </w:r>
    </w:p>
    <w:p>
      <w:pPr>
        <w:spacing w:line="300" w:lineRule="exact"/>
        <w:rPr>
          <w:rFonts w:hint="default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b w:val="0"/>
          <w:bCs/>
          <w:color w:val="000000"/>
          <w:sz w:val="21"/>
          <w:szCs w:val="21"/>
        </w:rPr>
        <w:t>信诺</w:t>
      </w:r>
      <w:r>
        <w:rPr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LD 1126</w:t>
      </w:r>
    </w:p>
    <w:p>
      <w:pPr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24"/>
        </w:rPr>
        <w:t xml:space="preserve">             </w:t>
      </w:r>
    </w:p>
    <w:p>
      <w:pPr>
        <w:spacing w:line="240" w:lineRule="auto"/>
        <w:rPr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物化指标</w:t>
      </w:r>
    </w:p>
    <w:p>
      <w:pPr>
        <w:pBdr>
          <w:top w:val="single" w:color="auto" w:sz="4" w:space="0"/>
        </w:pBdr>
        <w:tabs>
          <w:tab w:val="left" w:pos="1480"/>
        </w:tabs>
        <w:spacing w:line="240" w:lineRule="auto"/>
        <w:ind w:left="630" w:hanging="630" w:hangingChars="300"/>
        <w:rPr>
          <w:rFonts w:hint="default" w:eastAsia="宋体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组成</w:t>
      </w:r>
      <w:r>
        <w:rPr>
          <w:rFonts w:hint="eastAsia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带有共轭基团的嵌段共聚物</w:t>
      </w:r>
    </w:p>
    <w:p>
      <w:pPr>
        <w:pBdr>
          <w:top w:val="single" w:color="auto" w:sz="4" w:space="0"/>
          <w:bottom w:val="single" w:color="auto" w:sz="4" w:space="0"/>
        </w:pBdr>
        <w:tabs>
          <w:tab w:val="left" w:pos="1480"/>
        </w:tabs>
        <w:spacing w:line="240" w:lineRule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活性物含量          60%                     </w:t>
      </w:r>
    </w:p>
    <w:p>
      <w:pPr>
        <w:pBdr>
          <w:top w:val="single" w:color="auto" w:sz="4" w:space="0"/>
          <w:bottom w:val="single" w:color="auto" w:sz="4" w:space="0"/>
        </w:pBdr>
        <w:tabs>
          <w:tab w:val="left" w:pos="1480"/>
        </w:tabs>
        <w:spacing w:line="240" w:lineRule="auto"/>
        <w:rPr>
          <w:rFonts w:hint="default"/>
          <w:b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lang w:val="en-US" w:eastAsia="zh-CN"/>
        </w:rPr>
        <w:t>溶剂         1-甲基-2-吡咯烷酮</w:t>
      </w:r>
    </w:p>
    <w:p>
      <w:pPr>
        <w:spacing w:line="340" w:lineRule="exact"/>
        <w:rPr>
          <w:b/>
          <w:color w:val="000000"/>
          <w:sz w:val="28"/>
          <w:szCs w:val="28"/>
        </w:rPr>
      </w:pPr>
      <w:r>
        <w:rPr>
          <w:rFonts w:hint="eastAsia"/>
          <w:sz w:val="18"/>
          <w:szCs w:val="18"/>
          <w:lang w:val="en-US" w:eastAsia="zh-CN"/>
        </w:rPr>
        <w:t>注：本指标仅代表典型结果，不被视为规格，以具体COA为主。</w:t>
      </w:r>
    </w:p>
    <w:p>
      <w:pPr>
        <w:spacing w:line="240" w:lineRule="auto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</w:p>
    <w:p>
      <w:pPr>
        <w:spacing w:line="240" w:lineRule="auto"/>
        <w:rPr>
          <w:rFonts w:hint="eastAsia" w:eastAsia="宋体"/>
          <w:b/>
          <w:color w:val="0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b/>
          <w:color w:val="000000"/>
          <w:sz w:val="28"/>
          <w:szCs w:val="28"/>
        </w:rPr>
        <w:t>应用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领域</w:t>
      </w:r>
    </w:p>
    <w:p>
      <w:pPr>
        <w:spacing w:line="300" w:lineRule="exac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碳纳米管浆料、正极材料制浆</w:t>
      </w:r>
    </w:p>
    <w:p>
      <w:pPr>
        <w:spacing w:line="240" w:lineRule="auto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18"/>
          <w:szCs w:val="21"/>
          <w:lang w:val="en-US" w:eastAsia="zh-CN"/>
        </w:rPr>
        <w:br w:type="textWrapping"/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主要特性</w:t>
      </w:r>
    </w:p>
    <w:p>
      <w:pPr>
        <w:numPr>
          <w:ilvl w:val="0"/>
          <w:numId w:val="0"/>
        </w:numPr>
        <w:spacing w:line="30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应用于碳纳米管浆料：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color w:val="000000"/>
        </w:rPr>
      </w:pPr>
      <w:r>
        <w:rPr>
          <w:rFonts w:hint="eastAsia"/>
          <w:lang w:val="en-US" w:eastAsia="zh-CN"/>
        </w:rPr>
        <w:t>提高碳纳米管浆料的分散降粘效果；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color w:val="000000"/>
        </w:rPr>
      </w:pPr>
      <w:r>
        <w:rPr>
          <w:rFonts w:hint="eastAsia"/>
          <w:lang w:val="en-US" w:eastAsia="zh-CN"/>
        </w:rPr>
        <w:t>提高碳纳米管浆料的固含量；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color w:val="000000"/>
        </w:rPr>
      </w:pPr>
      <w:r>
        <w:rPr>
          <w:rFonts w:hint="eastAsia"/>
          <w:lang w:val="en-US" w:eastAsia="zh-CN"/>
        </w:rPr>
        <w:t>提高碳纳米管浆料的储存稳定性。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使用方法</w:t>
      </w:r>
    </w:p>
    <w:p>
      <w:pPr>
        <w:numPr>
          <w:ilvl w:val="0"/>
          <w:numId w:val="0"/>
        </w:numPr>
        <w:spacing w:line="30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生产碳纳米管浆料时，首先将分散剂</w:t>
      </w:r>
      <w:r>
        <w:rPr>
          <w:rFonts w:hint="eastAsia" w:ascii="宋体" w:hAnsi="宋体" w:eastAsia="宋体" w:cs="宋体"/>
          <w:lang w:val="en-US" w:eastAsia="zh-CN"/>
        </w:rPr>
        <w:t>信诺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/>
          <w:lang w:val="en-US" w:eastAsia="zh-CN"/>
        </w:rPr>
        <w:t>LD 1126加入到NMP中搅匀溶解（LD1126：NMP=10：90）或热浴融化，然后按配方量加入浆料中一起研磨分散。根据浆料的颗粒和粘度可以判断该分散剂的体系适用性。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建议用量</w:t>
      </w:r>
    </w:p>
    <w:p>
      <w:pPr>
        <w:spacing w:line="300" w:lineRule="exact"/>
        <w:rPr>
          <w:rFonts w:hint="eastAsia"/>
          <w:color w:val="000000"/>
          <w:lang w:val="en-US" w:eastAsia="zh-CN"/>
        </w:rPr>
      </w:pPr>
      <w:r>
        <w:rPr>
          <w:color w:val="000000"/>
        </w:rPr>
        <w:t>添加量(</w:t>
      </w:r>
      <w:r>
        <w:rPr>
          <w:rFonts w:hint="eastAsia"/>
          <w:color w:val="000000"/>
          <w:u w:val="single"/>
          <w:lang w:val="en-US" w:eastAsia="zh-CN"/>
        </w:rPr>
        <w:t>购入形式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基于 </w:t>
      </w:r>
    </w:p>
    <w:p>
      <w:pPr>
        <w:spacing w:line="300" w:lineRule="exac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碳纳米管：                      20-60%  </w:t>
      </w:r>
    </w:p>
    <w:p>
      <w:pPr>
        <w:spacing w:line="300" w:lineRule="exac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以上建议添加量对电阻影响小，最佳添加量需经一系列试验确定。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储存稳定性</w:t>
      </w:r>
    </w:p>
    <w:p>
      <w:pPr>
        <w:spacing w:line="300" w:lineRule="exact"/>
        <w:rPr>
          <w:color w:val="000000"/>
          <w:szCs w:val="21"/>
        </w:rPr>
      </w:pPr>
      <w:r>
        <w:rPr>
          <w:szCs w:val="21"/>
        </w:rPr>
        <w:t>未开封的原包装中保存24个月。</w:t>
      </w:r>
      <w:r>
        <w:rPr>
          <w:rFonts w:hint="eastAsia"/>
          <w:szCs w:val="21"/>
          <w:lang w:eastAsia="zh-CN"/>
        </w:rPr>
        <w:t>超过储存期的产品，经检验合格后可继续使用。</w:t>
      </w:r>
      <w:r>
        <w:rPr>
          <w:color w:val="000000"/>
          <w:szCs w:val="21"/>
        </w:rPr>
        <w:t>容器未完全用空前，使用后须立即紧闭。</w:t>
      </w:r>
    </w:p>
    <w:p>
      <w:pPr>
        <w:spacing w:line="240" w:lineRule="auto"/>
        <w:rPr>
          <w:rFonts w:hint="eastAsia"/>
          <w:color w:val="000000"/>
          <w:sz w:val="18"/>
          <w:szCs w:val="18"/>
          <w:lang w:val="en-US" w:eastAsia="zh-CN"/>
        </w:rPr>
      </w:pPr>
    </w:p>
    <w:p>
      <w:pPr>
        <w:spacing w:line="240" w:lineRule="auto"/>
        <w:rPr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包装</w:t>
      </w:r>
    </w:p>
    <w:p>
      <w:pPr>
        <w:spacing w:line="300" w:lineRule="exac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  <w:lang w:val="en-US" w:eastAsia="zh-CN"/>
        </w:rPr>
        <w:t>0</w:t>
      </w:r>
      <w:r>
        <w:rPr>
          <w:color w:val="000000"/>
          <w:szCs w:val="21"/>
        </w:rPr>
        <w:t xml:space="preserve">KG  </w:t>
      </w:r>
      <w:r>
        <w:rPr>
          <w:rFonts w:hint="eastAsia"/>
          <w:color w:val="000000"/>
          <w:szCs w:val="21"/>
          <w:lang w:val="en-US" w:eastAsia="zh-CN"/>
        </w:rPr>
        <w:t>/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color w:val="000000"/>
          <w:szCs w:val="21"/>
        </w:rPr>
        <w:t>0KG</w:t>
      </w:r>
    </w:p>
    <w:p>
      <w:pPr>
        <w:spacing w:line="300" w:lineRule="exact"/>
        <w:rPr>
          <w:rFonts w:hint="default"/>
          <w:color w:val="000000"/>
          <w:lang w:val="en-US" w:eastAsia="zh-CN"/>
        </w:rPr>
      </w:pPr>
    </w:p>
    <w:p>
      <w:pPr>
        <w:spacing w:line="240" w:lineRule="auto"/>
        <w:rPr>
          <w:b/>
          <w:color w:val="000000"/>
          <w:sz w:val="18"/>
          <w:szCs w:val="18"/>
        </w:rPr>
      </w:pPr>
    </w:p>
    <w:p>
      <w:pPr>
        <w:spacing w:line="240" w:lineRule="auto"/>
        <w:rPr>
          <w:b/>
          <w:color w:val="000000"/>
          <w:sz w:val="18"/>
          <w:szCs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418" w:header="851" w:footer="992" w:gutter="0"/>
      <w:cols w:equalWidth="0" w:num="2">
        <w:col w:w="4181" w:space="425"/>
        <w:col w:w="418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以上是有关我们产品的最新资讯，但由于受到各类配方及生产条件不同因素的影响，请务必按照贵公司的生产条件做适当调整。我们无法为各种个别情况做出担保，包括专利权益。</w:t>
    </w:r>
  </w:p>
  <w:p>
    <w:pPr>
      <w:pStyle w:val="2"/>
      <w:rPr>
        <w:rFonts w:hint="eastAsia"/>
        <w:lang w:val="en-US" w:eastAsia="zh-CN"/>
      </w:rPr>
    </w:pPr>
    <w:r>
      <w:rPr>
        <w:rFonts w:hint="eastAsia"/>
        <w:lang w:val="en-US" w:eastAsia="zh-CN"/>
      </w:rPr>
      <w:t>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为安徽嘉智信诺化工股份有限公司注册商标                                                                                      编号：JZXN-JSWJ-XS-ZJ-01</w:t>
    </w:r>
  </w:p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>生效日期 2023/2/27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lang w:val="en-US" w:eastAsia="zh-CN"/>
      </w:rPr>
    </w:pPr>
    <w:r>
      <w:drawing>
        <wp:inline distT="0" distB="0" distL="114300" distR="114300">
          <wp:extent cx="762635" cy="381000"/>
          <wp:effectExtent l="0" t="0" r="18415" b="0"/>
          <wp:docPr id="2" name="图片 5" descr="台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台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>
      <w:rPr>
        <w:rFonts w:hint="eastAsia"/>
        <w:lang w:val="en-US" w:eastAsia="zh-CN"/>
      </w:rPr>
      <w:t xml:space="preserve">          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添加剂 点滴创造价值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EB539"/>
    <w:multiLevelType w:val="singleLevel"/>
    <w:tmpl w:val="772EB5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TI3NWQ4Y2NhNTRlYjE1MDZlNWUxMjIzN2RhOTQifQ=="/>
  </w:docVars>
  <w:rsids>
    <w:rsidRoot w:val="31AB4D11"/>
    <w:rsid w:val="088A2CEF"/>
    <w:rsid w:val="0D561CEB"/>
    <w:rsid w:val="0DA756FC"/>
    <w:rsid w:val="0FA2297C"/>
    <w:rsid w:val="109E2494"/>
    <w:rsid w:val="11173CCE"/>
    <w:rsid w:val="1A096F6E"/>
    <w:rsid w:val="1CA25053"/>
    <w:rsid w:val="1DAB629C"/>
    <w:rsid w:val="29780AD6"/>
    <w:rsid w:val="2AE512C1"/>
    <w:rsid w:val="2E524B1E"/>
    <w:rsid w:val="30BC216C"/>
    <w:rsid w:val="31AB4D11"/>
    <w:rsid w:val="33FA4E51"/>
    <w:rsid w:val="371F22A5"/>
    <w:rsid w:val="38515AD2"/>
    <w:rsid w:val="3A8B5A59"/>
    <w:rsid w:val="3AB1666B"/>
    <w:rsid w:val="3CE81030"/>
    <w:rsid w:val="414D00E2"/>
    <w:rsid w:val="41962EF5"/>
    <w:rsid w:val="422A6258"/>
    <w:rsid w:val="4B932A98"/>
    <w:rsid w:val="4C0A286A"/>
    <w:rsid w:val="58492702"/>
    <w:rsid w:val="59654408"/>
    <w:rsid w:val="68393E37"/>
    <w:rsid w:val="6D535020"/>
    <w:rsid w:val="76FC0594"/>
    <w:rsid w:val="7E6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OM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321</Words>
  <Characters>394</Characters>
  <Lines>0</Lines>
  <Paragraphs>0</Paragraphs>
  <TotalTime>1</TotalTime>
  <ScaleCrop>false</ScaleCrop>
  <LinksUpToDate>false</LinksUpToDate>
  <CharactersWithSpaces>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2018-10-08T07:27:00Z</dcterms:created>
  <dc:creator>墨闻羽落</dc:creator>
  <cp:lastModifiedBy>嘉智信诺，股票代码831654，陈永康</cp:lastModifiedBy>
  <dcterms:modified xsi:type="dcterms:W3CDTF">2023-03-18T01:41:52Z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764BFE530AEB40E9959D5409A189EB92</vt:lpwstr>
  </property>
</Properties>
</file>